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71" w:rsidRPr="00E26971" w:rsidRDefault="00E26971" w:rsidP="00E26971">
      <w:pPr>
        <w:rPr>
          <w:rFonts w:ascii="Times" w:eastAsia="Times New Roman" w:hAnsi="Times" w:cs="Times New Roman"/>
          <w:sz w:val="20"/>
          <w:szCs w:val="20"/>
        </w:rPr>
      </w:pPr>
      <w:r w:rsidRPr="00E26971">
        <w:rPr>
          <w:rFonts w:ascii="Helvetica" w:eastAsia="Times New Roman" w:hAnsi="Helvetica" w:cs="Times New Roman"/>
          <w:b/>
          <w:bCs/>
          <w:color w:val="333333"/>
          <w:sz w:val="18"/>
          <w:szCs w:val="18"/>
          <w:shd w:val="clear" w:color="auto" w:fill="FFFFFF"/>
        </w:rPr>
        <w:t>ООО «Группа компаний «Объединенные системы»</w:t>
      </w:r>
      <w:r w:rsidRPr="00E26971">
        <w:rPr>
          <w:rFonts w:ascii="Helvetica" w:eastAsia="Times New Roman" w:hAnsi="Helvetica" w:cs="Times New Roman"/>
          <w:color w:val="333333"/>
          <w:sz w:val="18"/>
          <w:szCs w:val="18"/>
        </w:rPr>
        <w:br/>
      </w:r>
      <w:r w:rsidRPr="00E26971">
        <w:rPr>
          <w:rFonts w:ascii="Helvetica" w:eastAsia="Times New Roman" w:hAnsi="Helvetica" w:cs="Times New Roman"/>
          <w:color w:val="333333"/>
          <w:sz w:val="18"/>
          <w:szCs w:val="18"/>
          <w:shd w:val="clear" w:color="auto" w:fill="FFFFFF"/>
        </w:rPr>
        <w:t>по строительству многоквартирного жилого дома по адресу: Калининградская область, г.Гурьевск, </w:t>
      </w:r>
      <w:r w:rsidRPr="00E26971">
        <w:rPr>
          <w:rFonts w:ascii="Helvetica" w:eastAsia="Times New Roman" w:hAnsi="Helvetica" w:cs="Times New Roman"/>
          <w:color w:val="333333"/>
          <w:sz w:val="18"/>
          <w:szCs w:val="18"/>
        </w:rPr>
        <w:br/>
      </w:r>
      <w:proofErr w:type="spellStart"/>
      <w:r w:rsidRPr="00E26971">
        <w:rPr>
          <w:rFonts w:ascii="Helvetica" w:eastAsia="Times New Roman" w:hAnsi="Helvetica" w:cs="Times New Roman"/>
          <w:color w:val="333333"/>
          <w:sz w:val="18"/>
          <w:szCs w:val="18"/>
          <w:shd w:val="clear" w:color="auto" w:fill="FFFFFF"/>
        </w:rPr>
        <w:t>пер.Байдукова</w:t>
      </w:r>
      <w:proofErr w:type="spellEnd"/>
      <w:r w:rsidRPr="00E26971">
        <w:rPr>
          <w:rFonts w:ascii="Helvetica" w:eastAsia="Times New Roman" w:hAnsi="Helvetica" w:cs="Times New Roman"/>
          <w:color w:val="333333"/>
          <w:sz w:val="18"/>
          <w:szCs w:val="18"/>
          <w:shd w:val="clear" w:color="auto" w:fill="FFFFFF"/>
        </w:rPr>
        <w:t>, 1 «л». </w:t>
      </w:r>
      <w:r w:rsidRPr="00E26971">
        <w:rPr>
          <w:rFonts w:ascii="Helvetica" w:eastAsia="Times New Roman" w:hAnsi="Helvetica" w:cs="Times New Roman"/>
          <w:color w:val="333333"/>
          <w:sz w:val="18"/>
          <w:szCs w:val="18"/>
        </w:rPr>
        <w:br/>
      </w:r>
    </w:p>
    <w:p w:rsidR="00E26971" w:rsidRPr="00E26971" w:rsidRDefault="00E26971" w:rsidP="00E26971">
      <w:pPr>
        <w:shd w:val="clear" w:color="auto" w:fill="FFFFFF"/>
        <w:spacing w:after="75" w:line="234" w:lineRule="atLeast"/>
        <w:jc w:val="center"/>
        <w:rPr>
          <w:rFonts w:ascii="Helvetica" w:hAnsi="Helvetica" w:cs="Times New Roman"/>
          <w:color w:val="333333"/>
          <w:sz w:val="18"/>
          <w:szCs w:val="18"/>
        </w:rPr>
      </w:pPr>
      <w:r w:rsidRPr="00E26971">
        <w:rPr>
          <w:rFonts w:ascii="Helvetica" w:hAnsi="Helvetica" w:cs="Times New Roman"/>
          <w:b/>
          <w:bCs/>
          <w:color w:val="333333"/>
          <w:sz w:val="18"/>
          <w:szCs w:val="18"/>
        </w:rPr>
        <w:t>Раздел 1. Информация о застройщике:</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1. Наименование застройщика:</w:t>
      </w:r>
      <w:r w:rsidRPr="00E26971">
        <w:rPr>
          <w:rFonts w:ascii="Helvetica" w:hAnsi="Helvetica" w:cs="Times New Roman"/>
          <w:color w:val="333333"/>
          <w:sz w:val="18"/>
          <w:szCs w:val="18"/>
        </w:rPr>
        <w:br/>
        <w:t>Общество с ограниченной ответственностью «Группа компаний «Объединенные системы»</w:t>
      </w:r>
      <w:r w:rsidRPr="00E26971">
        <w:rPr>
          <w:rFonts w:ascii="Helvetica" w:hAnsi="Helvetica" w:cs="Times New Roman"/>
          <w:color w:val="333333"/>
          <w:sz w:val="18"/>
          <w:szCs w:val="18"/>
        </w:rPr>
        <w:br/>
        <w:t>Юридический адрес: </w:t>
      </w:r>
      <w:r w:rsidRPr="00E26971">
        <w:rPr>
          <w:rFonts w:ascii="Helvetica" w:hAnsi="Helvetica" w:cs="Times New Roman"/>
          <w:color w:val="333333"/>
          <w:sz w:val="18"/>
          <w:szCs w:val="18"/>
        </w:rPr>
        <w:br/>
        <w:t>236001 г. Калининград, переулок Кутаисский, д.3</w:t>
      </w:r>
      <w:r w:rsidRPr="00E26971">
        <w:rPr>
          <w:rFonts w:ascii="Helvetica" w:hAnsi="Helvetica" w:cs="Times New Roman"/>
          <w:color w:val="333333"/>
          <w:sz w:val="18"/>
          <w:szCs w:val="18"/>
        </w:rPr>
        <w:br/>
        <w:t>Режим работы: </w:t>
      </w:r>
      <w:r w:rsidRPr="00E26971">
        <w:rPr>
          <w:rFonts w:ascii="Helvetica" w:hAnsi="Helvetica" w:cs="Times New Roman"/>
          <w:color w:val="333333"/>
          <w:sz w:val="18"/>
          <w:szCs w:val="18"/>
        </w:rPr>
        <w:br/>
        <w:t>С 10.00 до 18.00 по будним дням, суббота, воскресенье – выходные.</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2. Государственная регистрация застройщика:</w:t>
      </w:r>
      <w:r w:rsidRPr="00E26971">
        <w:rPr>
          <w:rFonts w:ascii="Helvetica" w:hAnsi="Helvetica" w:cs="Times New Roman"/>
          <w:color w:val="333333"/>
          <w:sz w:val="18"/>
          <w:szCs w:val="18"/>
        </w:rPr>
        <w:br/>
        <w:t>Общество с ограниченной ответственностью «Группа компаний «Объединенные системы» </w:t>
      </w:r>
      <w:r w:rsidRPr="00E26971">
        <w:rPr>
          <w:rFonts w:ascii="Helvetica" w:hAnsi="Helvetica" w:cs="Times New Roman"/>
          <w:color w:val="333333"/>
          <w:sz w:val="18"/>
          <w:szCs w:val="18"/>
        </w:rPr>
        <w:br/>
        <w:t>зарегистрировано Межрайонной инспекцией Федеральной налоговой службы по крупнейшим </w:t>
      </w:r>
      <w:r w:rsidRPr="00E26971">
        <w:rPr>
          <w:rFonts w:ascii="Helvetica" w:hAnsi="Helvetica" w:cs="Times New Roman"/>
          <w:color w:val="333333"/>
          <w:sz w:val="18"/>
          <w:szCs w:val="18"/>
        </w:rPr>
        <w:br/>
        <w:t>налогоплательщикам по Калининградской области 01 августа 2008г., имеет  основной </w:t>
      </w:r>
      <w:r w:rsidRPr="00E26971">
        <w:rPr>
          <w:rFonts w:ascii="Helvetica" w:hAnsi="Helvetica" w:cs="Times New Roman"/>
          <w:color w:val="333333"/>
          <w:sz w:val="18"/>
          <w:szCs w:val="18"/>
        </w:rPr>
        <w:br/>
        <w:t>государственный регистрационный номер 1083925020288, ИНН 3906197538</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3. Учредители (участники) застройщика:</w:t>
      </w:r>
      <w:r w:rsidRPr="00E26971">
        <w:rPr>
          <w:rFonts w:ascii="Helvetica" w:hAnsi="Helvetica" w:cs="Times New Roman"/>
          <w:color w:val="333333"/>
          <w:sz w:val="18"/>
          <w:szCs w:val="18"/>
        </w:rPr>
        <w:br/>
      </w:r>
      <w:proofErr w:type="spellStart"/>
      <w:r w:rsidRPr="00E26971">
        <w:rPr>
          <w:rFonts w:ascii="Helvetica" w:hAnsi="Helvetica" w:cs="Times New Roman"/>
          <w:color w:val="333333"/>
          <w:sz w:val="18"/>
          <w:szCs w:val="18"/>
        </w:rPr>
        <w:t>Стрижеусов</w:t>
      </w:r>
      <w:proofErr w:type="spellEnd"/>
      <w:r w:rsidRPr="00E26971">
        <w:rPr>
          <w:rFonts w:ascii="Helvetica" w:hAnsi="Helvetica" w:cs="Times New Roman"/>
          <w:color w:val="333333"/>
          <w:sz w:val="18"/>
          <w:szCs w:val="18"/>
        </w:rPr>
        <w:t> Сергей Владимирович - 100% уставного капитала.</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4. Проекты строительства многоквартирных домов и/или иных объектов недвижимости, в которых принимал участие застройщик в течение трех лет, предшествующих опубликованию проектной декларации:</w:t>
      </w:r>
      <w:r w:rsidRPr="00E26971">
        <w:rPr>
          <w:rFonts w:ascii="Helvetica" w:hAnsi="Helvetica" w:cs="Times New Roman"/>
          <w:color w:val="333333"/>
          <w:sz w:val="18"/>
          <w:szCs w:val="18"/>
        </w:rPr>
        <w:br/>
        <w:t>Нет</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r w:rsidRPr="00E26971">
        <w:rPr>
          <w:rFonts w:ascii="Helvetica" w:hAnsi="Helvetica" w:cs="Times New Roman"/>
          <w:color w:val="333333"/>
          <w:sz w:val="18"/>
          <w:szCs w:val="18"/>
        </w:rPr>
        <w:br/>
        <w:t>Отсутствует вид деятельности, подлежащий лицензированию.</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6. О финансовом результате текущего года, размере кредиторской задолженности на день опубликования проектной декларации:</w:t>
      </w:r>
      <w:r w:rsidRPr="00E26971">
        <w:rPr>
          <w:rFonts w:ascii="Helvetica" w:hAnsi="Helvetica" w:cs="Times New Roman"/>
          <w:color w:val="333333"/>
          <w:sz w:val="18"/>
          <w:szCs w:val="18"/>
        </w:rPr>
        <w:br/>
        <w:t>На отчетную дату 31.03.2014г.:</w:t>
      </w:r>
      <w:r w:rsidRPr="00E26971">
        <w:rPr>
          <w:rFonts w:ascii="Helvetica" w:hAnsi="Helvetica" w:cs="Times New Roman"/>
          <w:color w:val="333333"/>
          <w:sz w:val="18"/>
          <w:szCs w:val="18"/>
        </w:rPr>
        <w:br/>
        <w:t>-финансовый результат:-163 тысячи рублей;</w:t>
      </w:r>
      <w:r w:rsidRPr="00E26971">
        <w:rPr>
          <w:rFonts w:ascii="Helvetica" w:hAnsi="Helvetica" w:cs="Times New Roman"/>
          <w:color w:val="333333"/>
          <w:sz w:val="18"/>
          <w:szCs w:val="18"/>
        </w:rPr>
        <w:br/>
        <w:t>-размер кредиторской задолженности: 668 тысяч рублей;</w:t>
      </w:r>
      <w:r w:rsidRPr="00E26971">
        <w:rPr>
          <w:rFonts w:ascii="Helvetica" w:hAnsi="Helvetica" w:cs="Times New Roman"/>
          <w:color w:val="333333"/>
          <w:sz w:val="18"/>
          <w:szCs w:val="18"/>
        </w:rPr>
        <w:br/>
        <w:t>-размер дебиторской задолженности: 490 тысяч рублей;</w:t>
      </w:r>
      <w:r w:rsidRPr="00E26971">
        <w:rPr>
          <w:rFonts w:ascii="Helvetica" w:hAnsi="Helvetica" w:cs="Times New Roman"/>
          <w:color w:val="333333"/>
          <w:sz w:val="18"/>
          <w:szCs w:val="18"/>
        </w:rPr>
        <w:br/>
        <w:t>-за январь-март 2014г. финансовый результат:-107 тысяч рублей.</w:t>
      </w:r>
    </w:p>
    <w:p w:rsidR="00E26971" w:rsidRPr="00E26971" w:rsidRDefault="00E26971" w:rsidP="00E26971">
      <w:pPr>
        <w:rPr>
          <w:rFonts w:ascii="Times" w:eastAsia="Times New Roman" w:hAnsi="Times" w:cs="Times New Roman"/>
          <w:sz w:val="20"/>
          <w:szCs w:val="20"/>
        </w:rPr>
      </w:pPr>
      <w:r w:rsidRPr="00E26971">
        <w:rPr>
          <w:rFonts w:ascii="Helvetica" w:eastAsia="Times New Roman" w:hAnsi="Helvetica" w:cs="Times New Roman"/>
          <w:color w:val="333333"/>
          <w:sz w:val="18"/>
          <w:szCs w:val="18"/>
        </w:rPr>
        <w:br/>
      </w:r>
    </w:p>
    <w:p w:rsidR="00E26971" w:rsidRPr="00E26971" w:rsidRDefault="00E26971" w:rsidP="00E26971">
      <w:pPr>
        <w:shd w:val="clear" w:color="auto" w:fill="FFFFFF"/>
        <w:spacing w:after="75" w:line="234" w:lineRule="atLeast"/>
        <w:jc w:val="center"/>
        <w:rPr>
          <w:rFonts w:ascii="Helvetica" w:hAnsi="Helvetica" w:cs="Times New Roman"/>
          <w:color w:val="333333"/>
          <w:sz w:val="18"/>
          <w:szCs w:val="18"/>
        </w:rPr>
      </w:pPr>
      <w:r w:rsidRPr="00E26971">
        <w:rPr>
          <w:rFonts w:ascii="Helvetica" w:hAnsi="Helvetica" w:cs="Times New Roman"/>
          <w:b/>
          <w:bCs/>
          <w:color w:val="333333"/>
          <w:sz w:val="18"/>
          <w:szCs w:val="18"/>
        </w:rPr>
        <w:t>Раздел 2. Информация о проекте строительства:</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1. Цель проекта строительства:</w:t>
      </w:r>
      <w:r w:rsidRPr="00E26971">
        <w:rPr>
          <w:rFonts w:ascii="Helvetica" w:hAnsi="Helvetica" w:cs="Times New Roman"/>
          <w:color w:val="333333"/>
          <w:sz w:val="18"/>
          <w:szCs w:val="18"/>
        </w:rPr>
        <w:br/>
        <w:t>Целью проекта  является  строительство многоквартирного жилого дома в г. Гурьевске </w:t>
      </w:r>
      <w:r w:rsidRPr="00E26971">
        <w:rPr>
          <w:rFonts w:ascii="Helvetica" w:hAnsi="Helvetica" w:cs="Times New Roman"/>
          <w:color w:val="333333"/>
          <w:sz w:val="18"/>
          <w:szCs w:val="18"/>
        </w:rPr>
        <w:br/>
        <w:t>Калининградской области. Многоквартирный жилой дом по переулку Байдукова, 1 «л».</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2. Этапы и сроки реализации проекта строительства:</w:t>
      </w:r>
      <w:r w:rsidRPr="00E26971">
        <w:rPr>
          <w:rFonts w:ascii="Helvetica" w:hAnsi="Helvetica" w:cs="Times New Roman"/>
          <w:color w:val="333333"/>
          <w:sz w:val="18"/>
          <w:szCs w:val="18"/>
        </w:rPr>
        <w:br/>
        <w:t>Окончание проектирования объекта – июнь 2014 года.</w:t>
      </w:r>
      <w:r w:rsidRPr="00E26971">
        <w:rPr>
          <w:rFonts w:ascii="Helvetica" w:hAnsi="Helvetica" w:cs="Times New Roman"/>
          <w:color w:val="333333"/>
          <w:sz w:val="18"/>
          <w:szCs w:val="18"/>
        </w:rPr>
        <w:br/>
        <w:t>Начало строительства  объекта —   II квартал  2014 года. </w:t>
      </w:r>
      <w:r w:rsidRPr="00E26971">
        <w:rPr>
          <w:rFonts w:ascii="Helvetica" w:hAnsi="Helvetica" w:cs="Times New Roman"/>
          <w:color w:val="333333"/>
          <w:sz w:val="18"/>
          <w:szCs w:val="18"/>
        </w:rPr>
        <w:br/>
        <w:t>Окончание  строительства объекта  —  II квартал  2015 года.</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3. Результат проведения государственной экспертизы проектной документации:</w:t>
      </w:r>
      <w:r w:rsidRPr="00E26971">
        <w:rPr>
          <w:rFonts w:ascii="Helvetica" w:hAnsi="Helvetica" w:cs="Times New Roman"/>
          <w:color w:val="333333"/>
          <w:sz w:val="18"/>
          <w:szCs w:val="18"/>
        </w:rPr>
        <w:br/>
        <w:t>не требуется.</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4. Разрешение на строительство:</w:t>
      </w:r>
      <w:r w:rsidRPr="00E26971">
        <w:rPr>
          <w:rFonts w:ascii="Helvetica" w:hAnsi="Helvetica" w:cs="Times New Roman"/>
          <w:color w:val="333333"/>
          <w:sz w:val="18"/>
          <w:szCs w:val="18"/>
        </w:rPr>
        <w:br/>
        <w:t>Разрешение на строительство многоквартирного жилого дома  № RU39310000-429/2014МО,</w:t>
      </w:r>
      <w:r w:rsidRPr="00E26971">
        <w:rPr>
          <w:rFonts w:ascii="Helvetica" w:hAnsi="Helvetica" w:cs="Times New Roman"/>
          <w:color w:val="333333"/>
          <w:sz w:val="18"/>
          <w:szCs w:val="18"/>
        </w:rPr>
        <w:br/>
        <w:t>  выдано Администрацией </w:t>
      </w:r>
      <w:proofErr w:type="spellStart"/>
      <w:r w:rsidRPr="00E26971">
        <w:rPr>
          <w:rFonts w:ascii="Helvetica" w:hAnsi="Helvetica" w:cs="Times New Roman"/>
          <w:color w:val="333333"/>
          <w:sz w:val="18"/>
          <w:szCs w:val="18"/>
        </w:rPr>
        <w:t>Гурьевского</w:t>
      </w:r>
      <w:proofErr w:type="spellEnd"/>
      <w:r w:rsidRPr="00E26971">
        <w:rPr>
          <w:rFonts w:ascii="Helvetica" w:hAnsi="Helvetica" w:cs="Times New Roman"/>
          <w:color w:val="333333"/>
          <w:sz w:val="18"/>
          <w:szCs w:val="18"/>
        </w:rPr>
        <w:t> городского округа 11июня 2014г.</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5. Права застройщика на земельный участок:</w:t>
      </w:r>
      <w:r w:rsidRPr="00E26971">
        <w:rPr>
          <w:rFonts w:ascii="Helvetica" w:hAnsi="Helvetica" w:cs="Times New Roman"/>
          <w:color w:val="333333"/>
          <w:sz w:val="18"/>
          <w:szCs w:val="18"/>
        </w:rPr>
        <w:br/>
        <w:t>•Земельный участок, расположенный по адресу: Калининградская область,  г. Гурьевск, пер.Байдукова, 1 «а», 1«л», 1 «м» принадлежит Застройщику на праве аренды на основании Договора № 851 аренды земельного участка от 24 октября 2013 года. •Общая площадь земельного участка : 12840 </w:t>
      </w:r>
      <w:proofErr w:type="spellStart"/>
      <w:r w:rsidRPr="00E26971">
        <w:rPr>
          <w:rFonts w:ascii="Helvetica" w:hAnsi="Helvetica" w:cs="Times New Roman"/>
          <w:color w:val="333333"/>
          <w:sz w:val="18"/>
          <w:szCs w:val="18"/>
        </w:rPr>
        <w:t>кв.м</w:t>
      </w:r>
      <w:proofErr w:type="spellEnd"/>
      <w:r w:rsidRPr="00E26971">
        <w:rPr>
          <w:rFonts w:ascii="Helvetica" w:hAnsi="Helvetica" w:cs="Times New Roman"/>
          <w:color w:val="333333"/>
          <w:sz w:val="18"/>
          <w:szCs w:val="18"/>
        </w:rPr>
        <w:t>. </w:t>
      </w:r>
      <w:r w:rsidRPr="00E26971">
        <w:rPr>
          <w:rFonts w:ascii="Helvetica" w:hAnsi="Helvetica" w:cs="Times New Roman"/>
          <w:color w:val="333333"/>
          <w:sz w:val="18"/>
          <w:szCs w:val="18"/>
        </w:rPr>
        <w:br/>
        <w:t>Границы земельного участка:</w:t>
      </w:r>
      <w:r w:rsidRPr="00E26971">
        <w:rPr>
          <w:rFonts w:ascii="Helvetica" w:hAnsi="Helvetica" w:cs="Times New Roman"/>
          <w:color w:val="333333"/>
          <w:sz w:val="18"/>
          <w:szCs w:val="18"/>
        </w:rPr>
        <w:br/>
        <w:t>Закреплен в натуре, что подтверждается планом земельного участка под кадастровым номером:  39:03:010021:106. Земельный участок находится в Калининградской обл., г. Гурьевск, пер. Байдукова, 1л.  в зоне застройки Ж2 (для малоэтажной застройки). С северной стороны — пер. </w:t>
      </w:r>
      <w:proofErr w:type="spellStart"/>
      <w:r w:rsidRPr="00E26971">
        <w:rPr>
          <w:rFonts w:ascii="Helvetica" w:hAnsi="Helvetica" w:cs="Times New Roman"/>
          <w:color w:val="333333"/>
          <w:sz w:val="18"/>
          <w:szCs w:val="18"/>
        </w:rPr>
        <w:t>Байдукова</w:t>
      </w:r>
      <w:proofErr w:type="spellEnd"/>
      <w:r w:rsidRPr="00E26971">
        <w:rPr>
          <w:rFonts w:ascii="Helvetica" w:hAnsi="Helvetica" w:cs="Times New Roman"/>
          <w:color w:val="333333"/>
          <w:sz w:val="18"/>
          <w:szCs w:val="18"/>
        </w:rPr>
        <w:t> ; с восточной стороны —</w:t>
      </w:r>
      <w:r w:rsidRPr="00E26971">
        <w:rPr>
          <w:rFonts w:ascii="Helvetica" w:hAnsi="Helvetica" w:cs="Times New Roman"/>
          <w:color w:val="333333"/>
          <w:sz w:val="18"/>
          <w:szCs w:val="18"/>
        </w:rPr>
        <w:lastRenderedPageBreak/>
        <w:t> перспективная жилая застройка; с южной стороны — территория свободная от застройки; с западной стороны — участок под застройку жилыми домами.</w:t>
      </w:r>
      <w:r w:rsidRPr="00E26971">
        <w:rPr>
          <w:rFonts w:ascii="Helvetica" w:hAnsi="Helvetica" w:cs="Times New Roman"/>
          <w:color w:val="333333"/>
          <w:sz w:val="18"/>
          <w:szCs w:val="18"/>
        </w:rPr>
        <w:br/>
        <w:t>Элементы благоустройства: </w:t>
      </w:r>
      <w:r w:rsidRPr="00E26971">
        <w:rPr>
          <w:rFonts w:ascii="Helvetica" w:hAnsi="Helvetica" w:cs="Times New Roman"/>
          <w:color w:val="333333"/>
          <w:sz w:val="18"/>
          <w:szCs w:val="18"/>
        </w:rPr>
        <w:br/>
        <w:t>Проектом предусмотрено благоустройство и озеленение территории. Проезды, автостоянки и  разворотные площадки имеют асфальтобетонное покрытие, тротуары – из мелкой бетонной  плитки, площадки – из спецсмеси. Проезды и тротуары обрамлены бордюрным камнем. На территории, свободной от застройки и покрытий, предусматривается устройство газонов,цветников, посадка декоративных деревьев и кустарников. Предусмотрена расстановка малых  архитектурных форм.</w:t>
      </w:r>
      <w:r w:rsidRPr="00E26971">
        <w:rPr>
          <w:rFonts w:ascii="Helvetica" w:hAnsi="Helvetica" w:cs="Times New Roman"/>
          <w:color w:val="333333"/>
          <w:sz w:val="18"/>
          <w:szCs w:val="18"/>
        </w:rPr>
        <w:br/>
        <w:t>План благоустройства выполнен с учетом обеспечения беспрепятственного передвижения  маломобильных групп населения в зонах их возможного пребывания.</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6. Местоположение объекта реконструкции и его описание:</w:t>
      </w:r>
      <w:r w:rsidRPr="00E26971">
        <w:rPr>
          <w:rFonts w:ascii="Helvetica" w:hAnsi="Helvetica" w:cs="Times New Roman"/>
          <w:color w:val="333333"/>
          <w:sz w:val="18"/>
          <w:szCs w:val="18"/>
        </w:rPr>
        <w:br/>
        <w:t>Многоквартирный жилой дом по пер. Байдукова в г. Гурьевске Калининградской области. Представляет собой трехэтажное, трехсекционное кирпичное здание с техническим подпольем, прямоугольной конфигурации в плане, имеющее следующие размеры (в осях): ширина 11,62 м, длина 83,72 м. Высота этажа — 3,0 м. Высота </w:t>
      </w:r>
      <w:proofErr w:type="spellStart"/>
      <w:r w:rsidRPr="00E26971">
        <w:rPr>
          <w:rFonts w:ascii="Helvetica" w:hAnsi="Helvetica" w:cs="Times New Roman"/>
          <w:color w:val="333333"/>
          <w:sz w:val="18"/>
          <w:szCs w:val="18"/>
        </w:rPr>
        <w:t>техподполья</w:t>
      </w:r>
      <w:proofErr w:type="spellEnd"/>
      <w:r w:rsidRPr="00E26971">
        <w:rPr>
          <w:rFonts w:ascii="Helvetica" w:hAnsi="Helvetica" w:cs="Times New Roman"/>
          <w:color w:val="333333"/>
          <w:sz w:val="18"/>
          <w:szCs w:val="18"/>
        </w:rPr>
        <w:t> — 1,8 м. Фундаменты - приняты ленточные на свайном основании. Ростверк — монолитный из бетона кл. В30 W8, армированный пространственными каркасами.  Под ростверк выполняется подготовка из  бетона кл. В15 толщиной 100 мм, выступающая за грани ростверка на 100 мм. На ростверк  устанавливаются блоки стен подвалов. Монолитные участки при раскладке фундаментных блоков выполняются из бетона кл. В15 W8. Горизонтальная гидроизоляция — 2 слоя </w:t>
      </w:r>
      <w:proofErr w:type="spellStart"/>
      <w:r w:rsidRPr="00E26971">
        <w:rPr>
          <w:rFonts w:ascii="Helvetica" w:hAnsi="Helvetica" w:cs="Times New Roman"/>
          <w:color w:val="333333"/>
          <w:sz w:val="18"/>
          <w:szCs w:val="18"/>
        </w:rPr>
        <w:t>гидроизола</w:t>
      </w:r>
      <w:proofErr w:type="spellEnd"/>
      <w:r w:rsidRPr="00E26971">
        <w:rPr>
          <w:rFonts w:ascii="Helvetica" w:hAnsi="Helvetica" w:cs="Times New Roman"/>
          <w:color w:val="333333"/>
          <w:sz w:val="18"/>
          <w:szCs w:val="18"/>
        </w:rPr>
        <w:t> на битумной мастике, вертикальная (в  местах соприкосновения с грунтом) — обмазочная (горячим битумом за 2 раза). Кладка наружных и внутренних несущих стен  запроектирована из силикатного пустотелого кирпича (с круглыми пустотами диаметром не более 35 мм и пустотностью до 25%) . Кладка выполняется с трехрядной перевязкой. Вентиляционные каналы и дымоходы выше уровня  перекрытия на отм. + 8,920 выполняются из полнотелого керамического кирпича.    Межкомнатные перегородки — из силикатного пустотелого кирпича, перегородки влажных помещений — из силикатного полнотелого кирпича, межквартирные перегородки — из  газосиликатных блоков. Лестницы запроектированы из сборных железобетонных лестничных маршей и площадок. Перекрытия — сборные пустотные железобетонные панели. Плиты лоджий и балконов  запроектированы сборные железобетонные.  Кровля - плоская, совмещенная, утепленная, с внутренним водостоком. Верхний слой покрытия —  рулонный наплавляемый гидроизоляционный ковер. Выход на кровлю предусмотрен через люк на  последнем этаже. Высота проектируемого здания  до 9,72 м. Полы — по плитам перекрытий выравнивающая цементно- песчаная стяжка. Полы 1-го этажа  утепляются пенополистеролом толщиной 100 мм. В полах остальных этажей устраивается  звукоизоляция из пенополистерола толщиной 30 мм. Покрытие пола общих коридоров и  лестничных клеток — керамическая плитка.   Наружная отделка — утепление по системе типа «</w:t>
      </w:r>
      <w:proofErr w:type="spellStart"/>
      <w:r w:rsidRPr="00E26971">
        <w:rPr>
          <w:rFonts w:ascii="Helvetica" w:hAnsi="Helvetica" w:cs="Times New Roman"/>
          <w:color w:val="333333"/>
          <w:sz w:val="18"/>
          <w:szCs w:val="18"/>
        </w:rPr>
        <w:t>Драйвит</w:t>
      </w:r>
      <w:proofErr w:type="spellEnd"/>
      <w:r w:rsidRPr="00E26971">
        <w:rPr>
          <w:rFonts w:ascii="Helvetica" w:hAnsi="Helvetica" w:cs="Times New Roman"/>
          <w:color w:val="333333"/>
          <w:sz w:val="18"/>
          <w:szCs w:val="18"/>
        </w:rPr>
        <w:t>» (США) с жестким креплением и  тонкостенным  защитно-декоративным штукатурным слоем. Внутренняя отделка всех стен — цементно-известковая штукатурка, дополнительно в местах  общего пользования  шпатлюются и окрашиваются водоэмульсионной краской. Потолки - выравнивание рустов между плитами перекрытия, дополнительно в местах общего  пользования шпатлюются и окрашиваются водоэмульсионной краской. Двери квартирные  – металлические. Водоснабжение, канализация — центральные. Электроснабжение и телефонизация. Газоснабжение. Теплоснабжение — индивидуальное (двухконтурные газовые котлы</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7. Количество в составе строящегося многоквартирного дома самостоятельных частей  объектов недвижимости, подлежащих передаче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w:t>
      </w:r>
      <w:r w:rsidRPr="00E26971">
        <w:rPr>
          <w:rFonts w:ascii="Helvetica" w:hAnsi="Helvetica" w:cs="Times New Roman"/>
          <w:color w:val="333333"/>
          <w:sz w:val="18"/>
          <w:szCs w:val="18"/>
        </w:rPr>
        <w:br/>
        <w:t>количество квартир                                            84 шт.      </w:t>
      </w:r>
      <w:r w:rsidRPr="00E26971">
        <w:rPr>
          <w:rFonts w:ascii="Helvetica" w:hAnsi="Helvetica" w:cs="Times New Roman"/>
          <w:color w:val="333333"/>
          <w:sz w:val="18"/>
          <w:szCs w:val="18"/>
        </w:rPr>
        <w:br/>
        <w:t>  общая площадь здания                                   2868,15  м2</w:t>
      </w:r>
      <w:r w:rsidRPr="00E26971">
        <w:rPr>
          <w:rFonts w:ascii="Helvetica" w:hAnsi="Helvetica" w:cs="Times New Roman"/>
          <w:color w:val="333333"/>
          <w:sz w:val="18"/>
          <w:szCs w:val="18"/>
        </w:rPr>
        <w:br/>
        <w:t>  строительный объем                                          11848,38  м3</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8. Функциональное назначение нежилых помещений в многоквартирном доме, не входящих в  состав общего имущества в многоквартирном доме:</w:t>
      </w:r>
      <w:r w:rsidRPr="00E26971">
        <w:rPr>
          <w:rFonts w:ascii="Helvetica" w:hAnsi="Helvetica" w:cs="Times New Roman"/>
          <w:color w:val="333333"/>
          <w:sz w:val="18"/>
          <w:szCs w:val="18"/>
        </w:rPr>
        <w:br/>
        <w:t>  Таких помещений  нет</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9.Состав общего имущества многоквартирного дома,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объектов долевого строительства  участникам долевого строительства:</w:t>
      </w:r>
      <w:r w:rsidRPr="00E26971">
        <w:rPr>
          <w:rFonts w:ascii="Helvetica" w:hAnsi="Helvetica" w:cs="Times New Roman"/>
          <w:color w:val="333333"/>
          <w:sz w:val="18"/>
          <w:szCs w:val="18"/>
        </w:rPr>
        <w:br/>
        <w:t>Лестничные клетки, коридоры, технические помещения, в том числе: электрощитовые, насосная, водомерный узел (узел управления), земельный участок.</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10. Предполагаемый срок получения разрешения на ввод в эксплуатацию строящегося  многоквартирного дома:</w:t>
      </w:r>
      <w:r w:rsidRPr="00E26971">
        <w:rPr>
          <w:rFonts w:ascii="Helvetica" w:hAnsi="Helvetica" w:cs="Times New Roman"/>
          <w:color w:val="333333"/>
          <w:sz w:val="18"/>
          <w:szCs w:val="18"/>
        </w:rPr>
        <w:t> III квартал 2015 года.</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11. 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 </w:t>
      </w:r>
      <w:r w:rsidRPr="00E26971">
        <w:rPr>
          <w:rFonts w:ascii="Helvetica" w:hAnsi="Helvetica" w:cs="Times New Roman"/>
          <w:color w:val="333333"/>
          <w:sz w:val="18"/>
          <w:szCs w:val="18"/>
        </w:rPr>
        <w:br/>
        <w:t>Служба ГАСН Калининградской области, Администрация Гурьевского городского округа, МУП  ЖКХ «</w:t>
      </w:r>
      <w:proofErr w:type="spellStart"/>
      <w:r w:rsidRPr="00E26971">
        <w:rPr>
          <w:rFonts w:ascii="Helvetica" w:hAnsi="Helvetica" w:cs="Times New Roman"/>
          <w:color w:val="333333"/>
          <w:sz w:val="18"/>
          <w:szCs w:val="18"/>
        </w:rPr>
        <w:t>Гурьевский</w:t>
      </w:r>
      <w:proofErr w:type="spellEnd"/>
      <w:r w:rsidRPr="00E26971">
        <w:rPr>
          <w:rFonts w:ascii="Helvetica" w:hAnsi="Helvetica" w:cs="Times New Roman"/>
          <w:color w:val="333333"/>
          <w:sz w:val="18"/>
          <w:szCs w:val="18"/>
        </w:rPr>
        <w:t> водоканал», ОАО «</w:t>
      </w:r>
      <w:proofErr w:type="spellStart"/>
      <w:r w:rsidRPr="00E26971">
        <w:rPr>
          <w:rFonts w:ascii="Helvetica" w:hAnsi="Helvetica" w:cs="Times New Roman"/>
          <w:color w:val="333333"/>
          <w:sz w:val="18"/>
          <w:szCs w:val="18"/>
        </w:rPr>
        <w:t>Калининградгазификация</w:t>
      </w:r>
      <w:proofErr w:type="spellEnd"/>
      <w:r w:rsidRPr="00E26971">
        <w:rPr>
          <w:rFonts w:ascii="Helvetica" w:hAnsi="Helvetica" w:cs="Times New Roman"/>
          <w:color w:val="333333"/>
          <w:sz w:val="18"/>
          <w:szCs w:val="18"/>
        </w:rPr>
        <w:t>», ООО «</w:t>
      </w:r>
      <w:proofErr w:type="spellStart"/>
      <w:r w:rsidRPr="00E26971">
        <w:rPr>
          <w:rFonts w:ascii="Helvetica" w:hAnsi="Helvetica" w:cs="Times New Roman"/>
          <w:color w:val="333333"/>
          <w:sz w:val="18"/>
          <w:szCs w:val="18"/>
        </w:rPr>
        <w:t>Агроимпульс</w:t>
      </w:r>
      <w:proofErr w:type="spellEnd"/>
      <w:r w:rsidRPr="00E26971">
        <w:rPr>
          <w:rFonts w:ascii="Helvetica" w:hAnsi="Helvetica" w:cs="Times New Roman"/>
          <w:color w:val="333333"/>
          <w:sz w:val="18"/>
          <w:szCs w:val="18"/>
        </w:rPr>
        <w:t>»,  Управление по технологическому и экологическому надзору Ростехнадзора по Калининградской  области, подрядные и другие организации,  управляющая компания, ООО «НИМБ-ПРОЕКТ».</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12.  Возможные финансовые и прочие риски при осуществлении проекта строительства:</w:t>
      </w:r>
      <w:r w:rsidRPr="00E26971">
        <w:rPr>
          <w:rFonts w:ascii="Helvetica" w:hAnsi="Helvetica" w:cs="Times New Roman"/>
          <w:color w:val="333333"/>
          <w:sz w:val="18"/>
          <w:szCs w:val="18"/>
        </w:rPr>
        <w:br/>
        <w:t>Финансовые и прочие риски при осуществлении проекта строительства носят  общераспространенный характер, присущий всем видам предпринимательской деятельности, в  части данного проекта риски носят маловероятный характер. Возможно повышение цен на  строительные материалы, подрядные и субподрядные работы.</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13. Меры по добровольному страхованию застройщиком возможных рисков:</w:t>
      </w:r>
      <w:r w:rsidRPr="00E26971">
        <w:rPr>
          <w:rFonts w:ascii="Helvetica" w:hAnsi="Helvetica" w:cs="Times New Roman"/>
          <w:color w:val="333333"/>
          <w:sz w:val="18"/>
          <w:szCs w:val="18"/>
        </w:rPr>
        <w:br/>
        <w:t>Страхование  гражданской ответственности застройщика за неисполнение или ненадлежащее исполнение им </w:t>
      </w:r>
      <w:r w:rsidRPr="00E26971">
        <w:rPr>
          <w:rFonts w:ascii="Helvetica" w:hAnsi="Helvetica" w:cs="Times New Roman"/>
          <w:color w:val="333333"/>
          <w:sz w:val="18"/>
          <w:szCs w:val="18"/>
        </w:rPr>
        <w:br/>
        <w:t>обязательств по передаче жилого помещения по договору путем заключения договора страхования </w:t>
      </w:r>
      <w:r w:rsidRPr="00E26971">
        <w:rPr>
          <w:rFonts w:ascii="Helvetica" w:hAnsi="Helvetica" w:cs="Times New Roman"/>
          <w:color w:val="333333"/>
          <w:sz w:val="18"/>
          <w:szCs w:val="18"/>
        </w:rPr>
        <w:br/>
        <w:t>гражданской ответственности застройщика за неисполнение или ненадлежащее исполнение </w:t>
      </w:r>
      <w:r w:rsidRPr="00E26971">
        <w:rPr>
          <w:rFonts w:ascii="Helvetica" w:hAnsi="Helvetica" w:cs="Times New Roman"/>
          <w:color w:val="333333"/>
          <w:sz w:val="18"/>
          <w:szCs w:val="18"/>
        </w:rPr>
        <w:br/>
        <w:t>обязательств по передаче жилого помещения по договору (далее - договор страхования) со </w:t>
      </w:r>
      <w:r w:rsidRPr="00E26971">
        <w:rPr>
          <w:rFonts w:ascii="Helvetica" w:hAnsi="Helvetica" w:cs="Times New Roman"/>
          <w:color w:val="333333"/>
          <w:sz w:val="18"/>
          <w:szCs w:val="18"/>
        </w:rPr>
        <w:br/>
        <w:t>страховой организацией, имеющей лицензию на осуществление этого вида страхования в </w:t>
      </w:r>
      <w:r w:rsidRPr="00E26971">
        <w:rPr>
          <w:rFonts w:ascii="Helvetica" w:hAnsi="Helvetica" w:cs="Times New Roman"/>
          <w:color w:val="333333"/>
          <w:sz w:val="18"/>
          <w:szCs w:val="18"/>
        </w:rPr>
        <w:br/>
        <w:t>соответствии с законодательством Российской Федерации о страховании и удовлетворяющей </w:t>
      </w:r>
      <w:r w:rsidRPr="00E26971">
        <w:rPr>
          <w:rFonts w:ascii="Helvetica" w:hAnsi="Helvetica" w:cs="Times New Roman"/>
          <w:color w:val="333333"/>
          <w:sz w:val="18"/>
          <w:szCs w:val="18"/>
        </w:rPr>
        <w:br/>
        <w:t>требованиям, предусмотренным статьей 15.2 ФЗ 214-ФЗ от 30.12.2004г. «Об участии в долевом </w:t>
      </w:r>
      <w:r w:rsidRPr="00E26971">
        <w:rPr>
          <w:rFonts w:ascii="Helvetica" w:hAnsi="Helvetica" w:cs="Times New Roman"/>
          <w:color w:val="333333"/>
          <w:sz w:val="18"/>
          <w:szCs w:val="18"/>
        </w:rPr>
        <w:br/>
        <w:t>строительстве многоквартирных домов и иных объектов недвижимости и о внесении изменений в </w:t>
      </w:r>
      <w:r w:rsidRPr="00E26971">
        <w:rPr>
          <w:rFonts w:ascii="Helvetica" w:hAnsi="Helvetica" w:cs="Times New Roman"/>
          <w:color w:val="333333"/>
          <w:sz w:val="18"/>
          <w:szCs w:val="18"/>
        </w:rPr>
        <w:br/>
        <w:t>некоторые законодательные акты Российской Федерации»</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14. О планируемой стоимости строительства (создания) жилого здания:</w:t>
      </w:r>
      <w:r w:rsidRPr="00E26971">
        <w:rPr>
          <w:rFonts w:ascii="Helvetica" w:hAnsi="Helvetica" w:cs="Times New Roman"/>
          <w:color w:val="333333"/>
          <w:sz w:val="18"/>
          <w:szCs w:val="18"/>
        </w:rPr>
        <w:br/>
        <w:t>Планируемая стоимость строительства – 117 </w:t>
      </w:r>
      <w:proofErr w:type="spellStart"/>
      <w:r w:rsidRPr="00E26971">
        <w:rPr>
          <w:rFonts w:ascii="Helvetica" w:hAnsi="Helvetica" w:cs="Times New Roman"/>
          <w:color w:val="333333"/>
          <w:sz w:val="18"/>
          <w:szCs w:val="18"/>
        </w:rPr>
        <w:t>млн.руб</w:t>
      </w:r>
      <w:proofErr w:type="spellEnd"/>
      <w:r w:rsidRPr="00E26971">
        <w:rPr>
          <w:rFonts w:ascii="Helvetica" w:hAnsi="Helvetica" w:cs="Times New Roman"/>
          <w:color w:val="333333"/>
          <w:sz w:val="18"/>
          <w:szCs w:val="18"/>
        </w:rPr>
        <w:t>.</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15. Перечень организаций, осуществляющих основные строительно-монтажные и другие  работы:</w:t>
      </w:r>
      <w:r w:rsidRPr="00E26971">
        <w:rPr>
          <w:rFonts w:ascii="Helvetica" w:hAnsi="Helvetica" w:cs="Times New Roman"/>
          <w:color w:val="333333"/>
          <w:sz w:val="18"/>
          <w:szCs w:val="18"/>
        </w:rPr>
        <w:br/>
        <w:t>Подрядчики: ООО «Нимб-проект», ООО «</w:t>
      </w:r>
      <w:proofErr w:type="spellStart"/>
      <w:r w:rsidRPr="00E26971">
        <w:rPr>
          <w:rFonts w:ascii="Helvetica" w:hAnsi="Helvetica" w:cs="Times New Roman"/>
          <w:color w:val="333333"/>
          <w:sz w:val="18"/>
          <w:szCs w:val="18"/>
        </w:rPr>
        <w:t>Тикон</w:t>
      </w:r>
      <w:proofErr w:type="spellEnd"/>
      <w:r w:rsidRPr="00E26971">
        <w:rPr>
          <w:rFonts w:ascii="Helvetica" w:hAnsi="Helvetica" w:cs="Times New Roman"/>
          <w:color w:val="333333"/>
          <w:sz w:val="18"/>
          <w:szCs w:val="18"/>
        </w:rPr>
        <w:t> Инвест Строй», ООО «ЭК Люкс», ООО  «Балтийское подворье», ООО «</w:t>
      </w:r>
      <w:proofErr w:type="spellStart"/>
      <w:r w:rsidRPr="00E26971">
        <w:rPr>
          <w:rFonts w:ascii="Helvetica" w:hAnsi="Helvetica" w:cs="Times New Roman"/>
          <w:color w:val="333333"/>
          <w:sz w:val="18"/>
          <w:szCs w:val="18"/>
        </w:rPr>
        <w:t>Газспецстрой</w:t>
      </w:r>
      <w:proofErr w:type="spellEnd"/>
      <w:r w:rsidRPr="00E26971">
        <w:rPr>
          <w:rFonts w:ascii="Helvetica" w:hAnsi="Helvetica" w:cs="Times New Roman"/>
          <w:color w:val="333333"/>
          <w:sz w:val="18"/>
          <w:szCs w:val="18"/>
        </w:rPr>
        <w:t>», ООО «ДМ-Строй». </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16. Способ обеспечения исполнения обязательств застройщика по договору:</w:t>
      </w:r>
      <w:r w:rsidRPr="00E26971">
        <w:rPr>
          <w:rFonts w:ascii="Helvetica" w:hAnsi="Helvetica" w:cs="Times New Roman"/>
          <w:color w:val="333333"/>
          <w:sz w:val="18"/>
          <w:szCs w:val="18"/>
        </w:rPr>
        <w:br/>
        <w:t>Исполнение обязательств застройщика перед Участниками долевого строительства по договору  участия в долевом строительстве обеспечивается залогом земельного участка, принадлежащего  Застройщику на праве аренды, строящегося на этом земельном участке многоквартирного дома.  Залог  земельного участка осуществляется при регистрации индивидуального договора участия в  долевом строительстве объекта в Управлении Федеральной  службы государственной регистрации,  кадастра и картографии по Калининградской области. </w:t>
      </w:r>
    </w:p>
    <w:p w:rsidR="00E26971" w:rsidRPr="00E26971" w:rsidRDefault="00E26971" w:rsidP="00E26971">
      <w:pPr>
        <w:shd w:val="clear" w:color="auto" w:fill="FFFFFF"/>
        <w:spacing w:after="75" w:line="234" w:lineRule="atLeast"/>
        <w:jc w:val="both"/>
        <w:rPr>
          <w:rFonts w:ascii="Helvetica" w:hAnsi="Helvetica" w:cs="Times New Roman"/>
          <w:color w:val="333333"/>
          <w:sz w:val="18"/>
          <w:szCs w:val="18"/>
        </w:rPr>
      </w:pPr>
      <w:r w:rsidRPr="00E26971">
        <w:rPr>
          <w:rFonts w:ascii="Helvetica" w:hAnsi="Helvetica" w:cs="Times New Roman"/>
          <w:b/>
          <w:bCs/>
          <w:color w:val="333333"/>
          <w:sz w:val="18"/>
          <w:szCs w:val="18"/>
        </w:rPr>
        <w:t>17. Иные договоры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r w:rsidRPr="00E26971">
        <w:rPr>
          <w:rFonts w:ascii="Helvetica" w:hAnsi="Helvetica" w:cs="Times New Roman"/>
          <w:color w:val="333333"/>
          <w:sz w:val="18"/>
          <w:szCs w:val="18"/>
        </w:rPr>
        <w:br/>
        <w:t>Денежные средства для строительства дома также привлекаются на основе договоров займа, заключенных Застройщиком с третьими лицами.</w:t>
      </w:r>
    </w:p>
    <w:p w:rsidR="00F1406A" w:rsidRPr="00E26971" w:rsidRDefault="00F1406A">
      <w:pPr>
        <w:rPr>
          <w:lang w:val="en-US"/>
        </w:rPr>
      </w:pPr>
      <w:bookmarkStart w:id="0" w:name="_GoBack"/>
      <w:bookmarkEnd w:id="0"/>
    </w:p>
    <w:sectPr w:rsidR="00F1406A" w:rsidRPr="00E26971" w:rsidSect="00F140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71"/>
    <w:rsid w:val="00E26971"/>
    <w:rsid w:val="00F140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BB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Grande" w:eastAsiaTheme="minorEastAsia" w:hAnsi="Lucida Grande" w:cs="Lucida Grande"/>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6971"/>
  </w:style>
  <w:style w:type="paragraph" w:styleId="a3">
    <w:name w:val="Normal (Web)"/>
    <w:basedOn w:val="a"/>
    <w:uiPriority w:val="99"/>
    <w:semiHidden/>
    <w:unhideWhenUsed/>
    <w:rsid w:val="00E2697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Grande" w:eastAsiaTheme="minorEastAsia" w:hAnsi="Lucida Grande" w:cs="Lucida Grande"/>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6971"/>
  </w:style>
  <w:style w:type="paragraph" w:styleId="a3">
    <w:name w:val="Normal (Web)"/>
    <w:basedOn w:val="a"/>
    <w:uiPriority w:val="99"/>
    <w:semiHidden/>
    <w:unhideWhenUsed/>
    <w:rsid w:val="00E2697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95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1666</Words>
  <Characters>9497</Characters>
  <Application>Microsoft Macintosh Word</Application>
  <DocSecurity>0</DocSecurity>
  <Lines>79</Lines>
  <Paragraphs>22</Paragraphs>
  <ScaleCrop>false</ScaleCrop>
  <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Бо</dc:creator>
  <cp:keywords/>
  <dc:description/>
  <cp:lastModifiedBy>Антон Бо</cp:lastModifiedBy>
  <cp:revision>1</cp:revision>
  <dcterms:created xsi:type="dcterms:W3CDTF">2015-12-04T06:45:00Z</dcterms:created>
  <dcterms:modified xsi:type="dcterms:W3CDTF">2015-12-04T06:45:00Z</dcterms:modified>
</cp:coreProperties>
</file>