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ПРОЕКТНАЯ ДЕКЛАРАЦИЯ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ООО «Дом-Строй» на строительство многоквартирного жилого дома со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встроенными административными помещениями по ул.Лужская, 23Б в г.Калининграде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«19» апреля 2012 года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I. Информация о застройщике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1. Информация о фирменном наименовании, местонахождении, режиме работы заказчика-застройщика.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Общество с ограниченной ответственностью «Дом-Строй» (ООО «Дом-Строй»).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г.Калининград, ул.Колхозная, 16 «б», т.7 4012 933177.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Режим работы: понедельник-пятница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2.  Информация о государственной регистрации заказчика-застройщика.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ООО «Дом-Строй» (первоначальное наименование -ООО «РЕК-СТРОЙ и К») зарегистрировано Межрайонной инспекцией ФНС №9 по г.Калининграду за основным государственным номером 1053902883110.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Дата регистрации – 14.06.2005 г.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3.  Информация об учредителях (участниках).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Искандарян Игорь Валерьевич - 40% голосов; Давыдов Руслан Александрович – 40% голосов; Ермолаев Владимир Станиславович -20% голосов.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4. Финансовый результат по состоянию на 31.12.2011 г.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Кредиторская задолженность – 17030 тыс.рублей.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Дебиторская  задолженность – 27 тыс.рублей.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II. Информация о проекте строительства.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1. Информация о цели проекта строительства, об этапах и сроках его реализации, о результатах государственной экспертизы проектной документации.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1.1. Целью проекта строительства является улучшение жилищных условий и иных потребностей населения города Калининграда и, в первую очередь, жителей поселка им.А.Космодемьянского.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Строительство 7-этажного 147-квартирного жилого дома с административными помещениями в цокольном этаже.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1.2. Начало строительства: I</w:t>
      </w:r>
      <w:r>
        <w:rPr>
          <w:rFonts w:ascii="Times" w:hAnsi="Times" w:cs="Times"/>
          <w:color w:val="000000"/>
          <w:sz w:val="19"/>
          <w:szCs w:val="19"/>
          <w:lang w:val="en-US"/>
        </w:rPr>
        <w:t> </w:t>
      </w:r>
      <w:r>
        <w:rPr>
          <w:rFonts w:ascii="Times New Roman" w:hAnsi="Times New Roman" w:cs="Times New Roman"/>
          <w:color w:val="000000"/>
          <w:lang w:val="en-US"/>
        </w:rPr>
        <w:t>квартал 2009 года.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val="single" w:color="000000"/>
          <w:lang w:val="en-US"/>
        </w:rPr>
        <w:t>Окончание строительства: IV</w:t>
      </w:r>
      <w:r>
        <w:rPr>
          <w:rFonts w:ascii="Times" w:hAnsi="Times" w:cs="Times"/>
          <w:color w:val="000000"/>
          <w:sz w:val="19"/>
          <w:szCs w:val="19"/>
          <w:u w:val="single" w:color="000000"/>
          <w:lang w:val="en-US"/>
        </w:rPr>
        <w:t> </w:t>
      </w:r>
      <w:r>
        <w:rPr>
          <w:rFonts w:ascii="Times New Roman" w:hAnsi="Times New Roman" w:cs="Times New Roman"/>
          <w:color w:val="000000"/>
          <w:u w:val="single" w:color="000000"/>
          <w:lang w:val="en-US"/>
        </w:rPr>
        <w:t>квартал 2013 года.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141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1.3. Государственным учреждением Калининградской области «Центр проектных экспертиз» выдано экспертное заключение №39-1-4-0458-08 от 29 октября 2008 г. на объект строительства «Многоквартирные жилые дома со встроенными торговыми и административными помещениями по улице Алданской в городе Калининграде. Жилой дом №1 по ГП.» на земельном участке общей площадью 1,6202 га с кадастровым номером 39:15:11 06 10:0019 по ул.Алданской в Октябрьском районе г.Калининграда, предоставленном Договором №008422 от 27.12.2006 года на передачу в аренду городских </w:t>
      </w:r>
      <w:r>
        <w:rPr>
          <w:rFonts w:ascii="Times New Roman" w:hAnsi="Times New Roman" w:cs="Times New Roman"/>
          <w:color w:val="000000"/>
          <w:u w:color="000000"/>
          <w:lang w:val="en-US"/>
        </w:rPr>
        <w:lastRenderedPageBreak/>
        <w:t>земель.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2. Информация о разрешении на строительство.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Разрешение на строительство №RU39315000-308/2008 от 07 ноября 2008 года, выданное администрацией городского округа «Город Калининград», продлено до 01 июня 2013 года.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3. Информация о правах заказчика-застройщика.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3.1. Разрешение на строительство – см. п.2 раздела II</w:t>
      </w:r>
      <w:r>
        <w:rPr>
          <w:rFonts w:ascii="Times" w:hAnsi="Times" w:cs="Times"/>
          <w:color w:val="000000"/>
          <w:sz w:val="19"/>
          <w:szCs w:val="19"/>
          <w:u w:color="000000"/>
          <w:lang w:val="en-US"/>
        </w:rPr>
        <w:t>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настоящей Декларации.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3.2.  ООО «Дом-Строй»  является собственником неоконченного строительством многоквартирный дома №1 по ГП, общая площадь застройки 1420,8 кв.м, степень готовности объекта незавершенного строительством составляет 10,4 %, инвентарный номер:46334, Литер:А расположенного по адресу: город Калининград, ул.Лужская, дом 23 Б на основании Договора на передачу в аренду городских земель №008422 от 27 декабря 2006 года, зарегистрированного 29 января 2007 года за №39-39-01/283/2006-188; Кадастрового паспорта здания, сооружения, объекта незаконченного строительства, от 17 августа 2011 года, выданного ФБУ «Кадастровая палата» по Калининградской области; Разрешения на строительство №RU39315000-308|2008 от 07 ноября 2008 года, выданного Комитетом архитектуры и строительства  администрации ГО «Город Калининград», о чем Управление Федеральной службы государственной регистрации, кадастра и картографии по Калининградской области в ЕГРП 25 октября 2011 года сделана запись регистрации 39-39-01/328/2011-134, что подтверждается Свидетельством о государственной регистрации права 39-АА 981757.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3.3. Земельный участок, имеющий кадастровый номер 39:15:11 06 10:0019, предоставлен застройщику на основании Договора №008422 аренды земельного участка от 27.12.2006 г. на передачу в аренду городских земель, заключенный между ООО «Рек-Строй и К» и мэрией г.Калининграда, зарегистрированный Управлением Федеральной регистрационной службы по Калининградской области 29.01.2007г., о чем в Едином государственном реестре прав на недвижимое имущество и сделок с ним сделана запись регистрации №39-39-01/283/2006-188; Соглашения №008422-1 об изменении и дополнении договора аренды  №008422 от 27.12.2006 года на передачу в аренду городских земель от 19 апреля 2012 года; участок имеет ориентиры – г.Калининград, ул.Лужская, 23Б.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3.4. Собственник земельного участка – городской округ «Город Калининград».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3.5. Площадь земельного участка – 1,6202 га. Земельный участок расположен в границах улицы Лужской (с севера), улицы Алданской (с юга и востока) и граничит на западе с территорией школы №53.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3.6. В соответствии с Актом №11-85 установления адреса от 11.07.2011 года – строящемуся многоквартирному дому (№1 по ГП), расположенному на земельном участке с кадастровым номером 39:15:11 06 10:0019, присвоен адрес: «город Калининград, улица Лужская, 23Б».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4. Информация о местоположении многоквартирного жилого дома и его описание в соответствии с проектной документацией.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Участок под строительство многоквартирного жилого дома со встроенными административными помещениями расположен в Октябрьском районе г.Калининграда по ул.Лужская,23Б, общей площадью 1,6202 га с кадастровым номером  39:15:11 06 10:0019, разрешенное использование – под строительство многоквартирных жилых домов со встроенными торговыми и административными помещениями.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Расположение участка по отношению к окружающей территории, имеющимся строениям: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с севера – ул.Лужская, 5-этажные жилые дома;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с юга – ул.Алданская, детский сад, многоквартирные жилые дома;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с востока – ул.Алданская, 5-этажные жилые дома;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с запада – территория школы №53.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Местность под строительство представляет собой спокойный рельеф с небольшим уклоном в северном направлении, абсолютные отметки земли изменяются от 7.0 до 8.3 м в Балтийской системе высот.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5. Количество в составе строящегося многоквартирного дома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 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5.1. Многоквартирный жилой дом №1 состоит из пяти секций: четыре рядовых и одной угловой.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Все секции имеют цокольный этаж и 7 надземных этажей с чердаком.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Общая площадь жилых помещений 6983,50 кв.м.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Количество квартир – 147.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Основные параметры квартир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BD371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jc w:val="both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Секция №1, 2,3 и 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</w:p>
        </w:tc>
      </w:tr>
      <w:tr w:rsidR="00BD37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jc w:val="both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jc w:val="both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1-комнатные квартиры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jc w:val="both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2-комнатные квартиры</w:t>
            </w:r>
          </w:p>
        </w:tc>
      </w:tr>
      <w:tr w:rsidR="00BD37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jc w:val="both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Площадь квартир (с учетом лоджий) кв.м</w:t>
            </w:r>
          </w:p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jc w:val="both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1 – 3 этажи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645"/>
              <w:jc w:val="both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38,93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426"/>
              <w:jc w:val="both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57,21</w:t>
            </w:r>
          </w:p>
        </w:tc>
      </w:tr>
      <w:tr w:rsidR="00BD37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4 – 7 этажи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645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40,58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426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60,00</w:t>
            </w:r>
          </w:p>
        </w:tc>
      </w:tr>
      <w:tr w:rsidR="00BD37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Общее количество квартир в секциях №1, 2, 3 и 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645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56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56</w:t>
            </w:r>
          </w:p>
        </w:tc>
      </w:tr>
      <w:tr w:rsidR="00BD37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Секция № 6 (угловая вставка)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</w:p>
        </w:tc>
      </w:tr>
      <w:tr w:rsidR="00BD37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1 – 3 этажи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504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38,88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-</w:t>
            </w:r>
          </w:p>
        </w:tc>
      </w:tr>
      <w:tr w:rsidR="00BD37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4 – 7 этажи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504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41,88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-</w:t>
            </w:r>
          </w:p>
        </w:tc>
      </w:tr>
      <w:tr w:rsidR="00BD37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Общее количество квартир в секции №4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504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35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 </w:t>
            </w:r>
          </w:p>
        </w:tc>
      </w:tr>
      <w:tr w:rsidR="00BD371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Общее количество квартир в жилом доме – 147, из них: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504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91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D3718" w:rsidRDefault="00BD3718">
            <w:pPr>
              <w:widowControl w:val="0"/>
              <w:autoSpaceDE w:val="0"/>
              <w:autoSpaceDN w:val="0"/>
              <w:adjustRightInd w:val="0"/>
              <w:spacing w:after="282"/>
              <w:ind w:firstLine="426"/>
              <w:rPr>
                <w:rFonts w:ascii="Times New Roman" w:hAnsi="Times New Roman" w:cs="Times New Roman"/>
                <w:kern w:val="1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56</w:t>
            </w:r>
          </w:p>
        </w:tc>
      </w:tr>
    </w:tbl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 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5.2. Техническая характеристика объекта.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Конструктивная схема здания – продольные и поперечные несущие стены.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Пространственная жесткость и устойчивость обеспечивается совместной работой продольных и поперечных стен с жесткими дисками перекрытий.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Фундаменты – монолитный ж/бетонный ростверк из бетона класса В 15, армированного стержневой арматурой класса А III</w:t>
      </w:r>
      <w:r>
        <w:rPr>
          <w:rFonts w:ascii="Times" w:hAnsi="Times" w:cs="Times"/>
          <w:color w:val="000000"/>
          <w:sz w:val="19"/>
          <w:szCs w:val="19"/>
          <w:u w:color="000000"/>
          <w:lang w:val="en-US"/>
        </w:rPr>
        <w:t>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по свайному основанию из забивных ж/бетонных свай длинной 6,0 м и поперечным сечением 30 на 30 см.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Стены цокольного этажа – из сборных бетонных блоков б=400 мм с утеплением каменной ватой б=100 мм по системе «DRYVIT».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Стены наружные – из силикатного полнотелого кирпича: 1-3 этажи б=510 мм, 4-7 этажи б=380 мм с утеплением пенополимтиролом б=90 и 100 мм соответственно по системе «DRYVIT».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Стены внутренние – из силикатного полнотелого кирпича б=380, 510,640 мм.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Перекрытия – сборные ж/бетонные многопустотные плиты.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Лестницы – сборные ж/бетонные марши и площадки.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Кровля – металлочерепица по деревянной стропильной системе.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Высота жилых этажей – 3 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5.3. Решения по инженерному оборудованию: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Водоснабжение – от централизованных сетей  водопровода по ул.Алданской.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36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Горячее водоснабжение: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1126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квартир жилого дома – от квартирных газовых котлов;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1126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встроенных (офисных) помещений – от местных водонагревателей.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766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Канализация – в централизованную сеть бытовой канализации поселка.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766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Газоснабжение – от сетей газоснабжения поселка.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766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Теплоснабжение: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1486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квартир жилого дома – от квартирных газовых котлов;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1486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встроенных (офисных) помещений – от проектируемых тепловых сетей котельной ООО «Балтптицепром».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Жилой дом оборудован лифтом.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5.4. Общий комплекс работ по благоустройству включает: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78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устройство асфальтового покрытия проездов и автостоянок;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78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вымащивание тротуаров и пешеходных дорожек бетонной плиткой;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78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устройство площадок для отдыха взрослых;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78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обустройство площадок для игр детей с установкой оборудования для полноценного отдыха и физического развития;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78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обустройство площадки для мусорных контейнеров и выбивки ковров;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78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обустройство спортивной и гимнастической площадок;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78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устройство дождеприемных колодцев и лотков;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78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color w:val="000000"/>
          <w:u w:color="000000"/>
          <w:lang w:val="en-US"/>
        </w:rPr>
        <w:t>·</w:t>
      </w:r>
      <w:r>
        <w:rPr>
          <w:rFonts w:ascii="Symbol" w:hAnsi="Symbol" w:cs="Symbol"/>
          <w:color w:val="000000"/>
          <w:u w:color="000000"/>
          <w:lang w:val="en-US"/>
        </w:rPr>
        <w:t>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посадка деревьев и кустарников на свободной от застройки, проездов и коммуникаций территории.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6. Информация  о функциональном назначении нежилых помещений в  многоквартирном доме, не входящих в состав общего имущества.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В цокольном этаже здания размещаются офисные помещения с обособленными входами и технические помещения.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Офисных помещений – 10.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Общая площадь встроенных офисных помещений – 993,05 кв.м.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Полезная площадь встроенных офисных помещений – 927,40 кв.м.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Высота цокольного этажа – 3,0 м.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7. Состав имущества, которое будет находиться в общей долевой собственности участников строительства.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В общей долевой собственности участников будут находиться помещения общего пользования (лестничные клетки, холлы, коридоры, а также помещения, в которых расположены оборудование и системы инженерного обеспечения здания и т.п. в соответствии со статьей 36 Жилищного кодекса РФ). Доля каждого собственника в общем имуществе определяется пропорционально общей площади помещений, находящихся  в собственности.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8. Информация о предполагаемом сроке получения разрешения на ввод объекта в эксплуатацию многоквартирного дома: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" w:hAnsi="Times" w:cs="Times"/>
          <w:color w:val="000000"/>
          <w:sz w:val="19"/>
          <w:szCs w:val="19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IV</w:t>
      </w:r>
      <w:r>
        <w:rPr>
          <w:rFonts w:ascii="Times" w:hAnsi="Times" w:cs="Times"/>
          <w:color w:val="000000"/>
          <w:sz w:val="19"/>
          <w:szCs w:val="19"/>
          <w:u w:color="000000"/>
          <w:lang w:val="en-US"/>
        </w:rPr>
        <w:t> </w:t>
      </w:r>
      <w:r>
        <w:rPr>
          <w:rFonts w:ascii="Times New Roman" w:hAnsi="Times New Roman" w:cs="Times New Roman"/>
          <w:color w:val="000000"/>
          <w:u w:color="000000"/>
          <w:lang w:val="en-US"/>
        </w:rPr>
        <w:t>квартал 2013 года.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8.1.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- Комитет архитектуры с строительства администрации городского округа «Город Калининград»;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- ООО «Дом-Строй» - заказчик-застройщик;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- Генеральный подрядчик – ООО СК «Бравия».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9. Информация о возможных финансовых и прочих рисках при осуществлении проекта строительства и мерах по добровольному страхованию заказчиком-застройщиком таких рисков.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В целях страхования возможных рисков, связанных с участием в долевом строительстве, заказчик-застройщик ООО «Дом-Строй» информирует о том, что на основании Федеральных законов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30.13.2004г. №214-ФЗ, «О государственной регистрации прав на недвижимое имущество и сделок с ним» от 21.07.1997г. № 122-ФЗ договоры долевого участия в строительстве подлежат государственной регистрации в Управлении Федеральной службы государственной регистрации, кадастра и картографии по Калининградской области.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По мнению застройщика, финансовые и прочие риски при осуществлении проекта строительства отсутствуют. Поэтому меры по добровольному страхованию заказчиком-застройщиком таких рисков не предусмотрены.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Планируемая стоимость строительства.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Стоимость строительства объекта (в ценах на 2008 год) составляет 235 млн. рублей.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10. Информация о подрядчике, осуществляющем основные строительно-монтажные работы.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Генеральный подрядчик – ООО СК «Бравия», ИНН 3905611033, юридический адрес (место нахождения): г.Калининград, ул.Менделеева, д.10 А.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11. Информация о способе обеспечения исполнения обязательств застройщика по договору.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С момента государственной регистрации договора у участников долевого строительства считаются находящимися в залоге: земельный участок (право аренды) предоставленный для строительства многоквартирного жилого дома и строящийся на этом участке многоквартирный жилой дом (часть 1 ст.13 ФЗ «Об участии в долевом строительстве»).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12. 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Иные договоры и сделки отсутстуют.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Настоящая проектная декларация размещена на веб-сайте ООО «Дом-Строй» -dom_stroy39.livejournal.com/557.html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Генеральный директор</w:t>
      </w:r>
    </w:p>
    <w:p w:rsidR="00BD3718" w:rsidRDefault="00BD3718" w:rsidP="00BD3718">
      <w:pPr>
        <w:widowControl w:val="0"/>
        <w:autoSpaceDE w:val="0"/>
        <w:autoSpaceDN w:val="0"/>
        <w:adjustRightInd w:val="0"/>
        <w:spacing w:after="120"/>
        <w:ind w:left="567"/>
        <w:rPr>
          <w:rFonts w:ascii="Times New Roman" w:hAnsi="Times New Roman" w:cs="Times New Roman"/>
          <w:kern w:val="1"/>
          <w:u w:color="000000"/>
          <w:lang w:val="en-US"/>
        </w:rPr>
      </w:pPr>
      <w:r>
        <w:rPr>
          <w:rFonts w:ascii="Times New Roman" w:hAnsi="Times New Roman" w:cs="Times New Roman"/>
          <w:color w:val="000000"/>
          <w:u w:color="000000"/>
          <w:lang w:val="en-US"/>
        </w:rPr>
        <w:t>ООО «Дом-Строй»                                                                                            В.В.Зорин</w:t>
      </w: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BD3718" w:rsidRDefault="00BD3718" w:rsidP="00BD37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u w:color="000000"/>
          <w:lang w:val="en-US"/>
        </w:rPr>
      </w:pPr>
    </w:p>
    <w:p w:rsidR="00F1406A" w:rsidRPr="00BD3718" w:rsidRDefault="00F1406A">
      <w:pPr>
        <w:rPr>
          <w:lang w:val="en-US"/>
        </w:rPr>
      </w:pPr>
      <w:bookmarkStart w:id="0" w:name="_GoBack"/>
      <w:bookmarkEnd w:id="0"/>
    </w:p>
    <w:sectPr w:rsidR="00F1406A" w:rsidRPr="00BD3718" w:rsidSect="00AF1B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18"/>
    <w:rsid w:val="00BD3718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B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1879</Words>
  <Characters>10714</Characters>
  <Application>Microsoft Macintosh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</dc:creator>
  <cp:keywords/>
  <dc:description/>
  <cp:lastModifiedBy>Антон Бо</cp:lastModifiedBy>
  <cp:revision>1</cp:revision>
  <dcterms:created xsi:type="dcterms:W3CDTF">2015-11-30T13:20:00Z</dcterms:created>
  <dcterms:modified xsi:type="dcterms:W3CDTF">2015-11-30T13:20:00Z</dcterms:modified>
</cp:coreProperties>
</file>